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Political Subdivisions Tort Claims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13-905,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political subdivisions to identify authorized recipients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tort claims; to provide for tolling of certain deadlines;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13-905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tort claims under the Political Subdivisions Tort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Act and sections 16-727, 16-728, 23-175, 39-809, and 79-610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with the clerk, secretary, or other official whose duty it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the official records of the political subdivision,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political subdivision may provide that such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with the duly constituted law department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political subdivision shall maintain on the home page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website a notice describing the official or law department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receive such claims. The notice shall identify the official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by name and title and provide a mailing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filing of a claim with the official or law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on such website shall constitute substantial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failure of a political subdivision to maintain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up-to-date information as required by this subsection shall toll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deadline for making a claim in writing and the deadline for bringing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suit under sections 13-919 and 13-920.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the duty of the official with whom the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to present the claim to the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claims shall be in writing and shall set forth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of the occurrence giving rise to the claim and such other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pertinent to the claim as are known to the claimant.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13-905,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