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Tax Growth Limitation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13-3403,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calculation of property tax request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 (1) Except as otherwise provided in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for fiscal years beginning on or after July 1, 2025,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any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its property tax request authority as determined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preliminary property tax request authority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the amount of property taxes requested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each political subdivision and included on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filed with the auditor in the prior fiscal year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13-506, less the sum of exceptions utilized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pursuant to subdivisions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(2), (4), (5), (6),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of section 13-3404.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preliminary property tax request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property tax request authority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product of (i)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(1) and (2) of section 13-3404,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growth 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product of (i)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subdivisions (1) and (2) of section 13-3404,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zero or the inflation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13-3403,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