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1161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Juarez, 5; Cavanaugh, M., 6; Hunt, 8; Raybould, 28; Spivey,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20,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minors; to amend section 43-2101,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age of majority;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3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43-2101 (1) All persons under nineteen years of age are declared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minors, but in case any person marries under the age of nineteen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years, his or her minority 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Upon becoming the age of majority, a person is considered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and acquires all rights and responsibilities granted or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 or common law, except that a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Eighteen years of age or older and who is not a ward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may: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Enter into a binding contract or lease of whatever kind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and shall be legally responsible for such contract or lease,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legal responsibility to third 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Execute, sign, authorize, or otherwise authenticate (A)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statement, (B) a promissory note or other instrument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evidencing an obligation to repay, or (C) a mortgage, trust deed,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agreement, financing statement, or other security instrument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 lien or security interest in real or personal property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fixtures, and shall be legally responsible for such document,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legal responsibility to third parties;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Acquire or convey title to real property and shall have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for such acquisition or conveyance, including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responsibility to third parties;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Eighteen years of age or older may consent to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himself or herself without the consent of his or her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guardian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Under nineteen years of age who is pregnant or who is the parent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child younger than eight years of age or who is experiencing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pregnancy-related condition, including, but not limited to, complete,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incomplete, or threatened miscarriage, stillbirth, ectopic pregnancy,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molar pregnancy, or other loss may consent to health care decisions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LB1161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LB1161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himself or herself without the consent of such person's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guardian. This subdivision does not apply to a person in the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Health and Human Services pursuant to a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Eighteen years of age or older may make health care decisions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himself or herself without the consent of his or her parent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guardian. This subdivision does not apply if such person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custody of the Department of Health and Human Services pursuant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juvenile court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43-2101,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9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