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Political Subdivisions Tort Claims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13-901,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certain claims under the act;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13-901 Sections 13-901 to 13-928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Political Subdivisions Tort Claims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sewer system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sewer system that is owned and operated by a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private residence or other building is damaged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sewer system backup caused by the negligent act or omission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political subdivision that operates the sewer system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hired by such political subdivision and the amount of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known and not in dispute, the owner of the private residence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may file a claim under the Political Subdivisions Tort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governing body of the political subdivision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within ninety days after the date of filing.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negligent act or omission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was committed by a contractor of a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political subdivision may bring an action for recovery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13-901,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