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Lippincott, 34; Lonowski, 33.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79-1001,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for a base salary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certified teachers as prescribed; to state intent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 new public education funding system based on block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funding; to state intent for changes to the Tax Equity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 to provide severability;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Commencing with the 2027-28 school year,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base salary for any certificated teacher employed on a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to teach by a public school district in Nebraska shall be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minimum base salary shall apply to all certificated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teachers, regardless of years of experience or educational attainment.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this section shall prevent a school district from paying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 more than the minimum base salary established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or from establishing salary schedules that reward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experience, advanced education, or performance above this minimum.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Beginning with the 2029-30 school year, and biennially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minimum base salary established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adjusted by the percentage change in Nebraska's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General Fund receipts for the two-year period ending on December 31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preceding year, with a minimum adjustment of zero percent.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 salary shall not be reduced below the previous year's base salary.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minimum base salary shall be rounded to the nearest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dollars. The State Department of Education shall annually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adjusted minimum base salary by March 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the intent of the Legislature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education funding system based on block grant funding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foundation aid and salary support and to adjust the education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provided in the Tax Equity and Educational Opportunities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incorporate such block grant funding. The newly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system shall provide each public school district with a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block grant beginning July 1, 2027. The amount of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block grant shall be determined by a formula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based on factors including, but not limited to,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enrollment and the minimum base salary for certificated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Board of Education shall adopt and promulgate rules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necessary to implement and enforce sections 1 and 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including procedures for monitoring district compliance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on teacher salaries and student counts.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79-1001 Sections 79-1001 to 79-1033 shall be known and may be cited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Tax Equity and Educational Opportunities Support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It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of the Legislature that adjustments be made to the Tax Equity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Opportunities Support Act beginning with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2027-28 to provide foundation aid and salary support for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via block grant funding pursuant to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