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1196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43; Sanders, 45; Storm, 23; Strommen, 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prohibit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state or local funds for low-earning outcome programs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powers and duties for the Coordinating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Education; and to require an annual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LB1196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LB1196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state or local funds shall be allocated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expended, either directly or indirectly, for any low-earning outcome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as determined pursuant to 20 U.S.C. 1087d. This prohibition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include, but not be limited to, the following categories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funding: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Individual student financial 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Base operational or instructional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Separately or specially appropriated aid or grants;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Capital or facilities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Coordinating Commission for Postsecondary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Annually review updated federal determinations of low-earning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outcome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Electronically submit an annual report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documenting: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federal determinations of low-earning outcome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Enforcement of the provisions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estimated fiscal impact resulting from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Coordinating Commission for Postsecondary Education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and promulgate rules and regulations to carry out the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