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counties; to provide for the treatment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uncashed checks issued by counties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county treasurer and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a list of checks issued by his or her office that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uncashed after two years, including the amount of the check and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person to whom the check was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such check for an amount of less than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void three years after the date of its issuance and shall cease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an obligation of the county at such time. Such check may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presented to the county board of such county which may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for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check that is void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charged off upon the books of the county,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credit the money, including any interest thereon,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of such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check that is void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cease to be intangible personal property held for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not be subject to the Uniform Disposition of Unclaimed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