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721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Intergenerational Care Facility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Grant Program; to amend section 81-3145,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change provisions related to eligibility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grants as 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81-3145,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81-3145 (1) The Intergenerational Care Facility Incentive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is created. It is the intent of the Legislature to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hundred thousand dollars from the Medicaid Managed Care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Profit Fund for fiscal year 2024-25 to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provide grants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Health and Human Services shall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eligibility, application, and audits for grants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collaboration with statewide associations representing nursing homes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38-2414 and other stakeholders.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with such associations prior to October 1, 2024, to identify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statutes, rules, regulations, or other regulatory barriers that impede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development of an intergenerational care facility in which nursing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child care are provided and develop recommendations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remediate such barriers that do not impact the safety of the staff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recipients of the nursing services and child care or the quality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services and child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grants shall be awarded to facilities that are nursing homes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38-2414 or assisted-living facilities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71-5903 and that have been certified for participation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medicare or medicaid. The grants shall be used for one-time startup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expansion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to provide for child care in such facilities. A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awarded one grant under this section of up to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grants shall be awarded for modification of structures,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of outside campus space of the nursing facilities,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child care equipment and supplies, or any combination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A facility that is applying for or awarded a grant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own or operate the child care services for which the grant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 facility may not apply for a grant if it has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a grant under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LB721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department shall award the grants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nonprofit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proprietary facilities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the basis of date of application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priority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given to rural communities, as defined in section 81-1228,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applications filed on the same date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facility that was cited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substandard quality of care during its most recent survey is not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grant under this section. Each grant recipient shall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to participate in the quality rating and improvement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71-1956 within three years after the date the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awarded.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81-3145,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