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behavioral health services;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71-812, Revised Statutes Supplement, 2025; to allow use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Behavioral Health Services Fund for individuals with substance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disorder as prescribed; to define and redefine terms;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71-812 (1) The Behavioral Health Services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division and shall contain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 or otherwise received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provision of behavioral health services from any other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source and directed by the Legislature for credit to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Behavioral Health Services Fund shall be used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facilitate the statewide development and provision of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services, including, but not limited to,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grants, loans, and other assistance for such purpose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providers of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Money transferred to the fund under section 76-903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housing-related assistance for very low-income adults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mental illness or substance abuse disorder,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determines that all housing-related assistance obligations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have been fully satisfied, the division may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excess, up to twenty percent of such money, to regional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authorities for acquisition or rehabilitation of housing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division shall manage and distribute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based upon a formula established by the division, in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regional behavioral health authorities and the department,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consistent with and reasonably calculated to promote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public behavioral health system enumerated in section 71-803.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shall contract with each regional behavioral health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provision of such assistance. Each regional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may contract with qualifying public, private, or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for the provision of such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Adult with serious mental illness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 or older who has, or at any time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twelve months has had, a diagnosable mental,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behavioral, or emotional disorder of sufficient duration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diagnostic criteria identified in the most recent edition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Diagnostic and Statistical Manual of Mental Disorders and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functional impairment that substantially interferes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or more major life functions. Serious mental illness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diagnosis with 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DSM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v-code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 codes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abuse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disorders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disabilities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exist concurrently with a diagnosable serious mental illness;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Housing-related assistance includes rental payments,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security and utility deposits, landlord risk mitigation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and other related costs and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Landlord risk mitigation payment means a payment provided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who leases or rents property to a very low-income adult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mental illness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substance use disorder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may be used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excessive damage to the rental property, any lost rent,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incurred by the landlord in excess of the security deposit,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expenses incurred by the landlord as a result of leasing or renting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property to such individual;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Substance use disorder has the same meaning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71-430;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Very low-income means a household income of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less of the applicable median family income estimate as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Housing and Urban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71-812,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