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aid to municipalities;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77-27,139.03,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calculation of tax levies for state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77-27,139.03,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77-27,139.03 (1) State aid provided to municipalities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77-27,139.01 to 77-27,139.04 shall be calculated by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property tax levy for operational purposes other than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payments on the indebtedness of all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shall use the prior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Taxes Levied that was certified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pursuant to section 77-1613.01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Accounts shall provide to the Department of Revenue a list of the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nonbond tax request amounts from the most recent budgets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incorporated municipalities. The information shall be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calculate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bond and nonbond tax levies for aid purposes under this section.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auditor shall provide the information to the department by February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municipality shall receive state aid from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Fund equal to (a) the product of the average per capita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of the appropriate population group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population of the municipality minus (b) the product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property tax levy multiplied by the certified valuation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incorporated municipality, except that a municipality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any aid under this section if the calculation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negative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municipal tax levy for operational purposes was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property tax levy in the immediately preceding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aid provided to such municipality shall be reduced by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one-cent increment the levy was below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levy but the reduction shall not exceed eighty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amount of money in the Municipal Equalization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total amount of state aid for all municipalities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allocation formula in subsection (2) of this section,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allocated on a prorated basis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municipalities. If the amount of money in the fund is more than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state aid for municipalities as required by the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formula, the excess money in the fund shall be credited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77-27,139.03,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