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Health Care Facility Licensure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71-401,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state legislative intent relating to reimbursement for PACE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services;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71-401 Sections 71-401 to 71-479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Health Care Facility Licensure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to increase the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for PACE program services to no less than eighty percent of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care received at a PACE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