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require coverage of eating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later than January 1, 2027, and notwithstanding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44-794 and 44-3,131, any health benefit plan delivered,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delivery, renewed, or continued in this state shall provide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diagnosis and treatment of an eating disorder. Such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include: (a) Medical, psychological, and pharmaceutical care;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nutritional counseling provided by a licensed dietitian or nutritionist;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(c) services provided at all levels of care, including, but not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inpatient,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residential,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partial 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hospitalization,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00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intensive outpatient treatment.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Coverage under this section shall not be limited or denied 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(a) the covered individual's body weight, body mass index, or physical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appearance or (b) the fact that the covered individual has not previously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completed or failed a lower level of care.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sections 1 to 3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Eating disorder means a condition as defined in the most recent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edition of the Diagnostic and Statistical Manual of Mental Disorders;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Health benefit plan means any hospital or medical policy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certificate, major medical expense insurance policy or certificate,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maintenance organization subscriber contract delivered, issued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delivery, renewed, or continued in this state. Health benefit plan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include an accident-only, a specified disease, a hospital indemnity,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Medicare supplement, a long-term care, or other limited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policy;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Medically necessary means a health care service or supply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consistent with generally accepted standards of care and the clinical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guidelines for the treatment of an eating disorder published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American Psychiatric Association or another nationally recognized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clinical organization.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limitations on construction found in section 44-794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apply to the benefits mandated by section 1 of this act.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insurer shall not utilize the provisions of section 44-794 relating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mechanisms designed to limit coverage to impose non-quantitative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limitations on eating disorder benefits that are more stringent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those applied to medical and surgical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utilization review or medical necessity determination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eating disorder shall be conducted by a provider with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expertise in the treatment of eating disorders.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Insurance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carry out sections 1 to 3 of this act.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