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Financial Fraud Victims' Reimbursement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amend section 84-222,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administrator of the fund to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powers and duties for the patrol;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84-222,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84-222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Financial transaction offense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28-1601;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Victim includes both individuals and persons,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financial institutions.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Financial Fraud Victims' Reimbursement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shall be administered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Attorney 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assets forfeited from financial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 as provided in subdivision (8)(b)(ii) of section 28-1601.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victim who has suffered loss as a result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offense may apply for reimbursement from the fund.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submitted in a form and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Attorney 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Attorney 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an applicant has suffered a qualifying loss and, if so,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of reimbursement that shall be made. An applicant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receive reimbursement from the funds forfeited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financial transaction offense of which the applicant was a victim.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are more applicants with qualified losses than there are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Attorney 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on a pro rata basis according to the amount of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suffered.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Funds relating to a financial transaction offense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into the Financial Fraud Victims' Reimbursement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(8)(b)(ii) of section 28-1601 shall remain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Fraud Victims' Reimbursement Fund until the later of: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Thirty-six months following the date of such transfer;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Resolution of any applications filed during such thirty-six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the expiration of the period described in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such funds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in accordance with Article VII, section 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84-222,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