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805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Hardin, 48; Lippincott, 34; McKeon, 41;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require coverage for cranial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helmets for certain infants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Notwithstanding section 44-3,131, (a) any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group sickness and accident insurance policy, certificate, or subscriber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delivered, issued for delivery, or renewed in this state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hospital, medical, or surgical expense-incurred policy, except for short-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major medical policies of six months or less duration and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provide coverage for a specified disease or other limited-benefit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coverage, and (b) any self-funded employee benefit plan,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preempted by federal law, shall include coverage for cranial helmets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infants up to one year of age to treat deformational plagiocephaly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craniosynostosis.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