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5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6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815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37,300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el Tax Enforcement and Collection Cash Fund for FY2026-27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36,300 from the Motor Fuel Tax Enforcement and Collection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Department of Revenue, for Program 111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815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99,5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or $102,500 for FY2027-28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