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820A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March 17, 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820,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Second Session, 2026; and to declare 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LB820A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LB820A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$7,500 from the Class V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Employees Retirement System Management Work Plan Fund and $7,500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Patrol Expense Fund for FY2026-27 and (2) $-0-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V School Employees Retirement System Management Work Plan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 from the State Patrol Expense Fund for FY2027-28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Retirement Board, for Program 41, to aid in carrying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Legislative Bill 820, One Hundred Ninth Legislature,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Session,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expenditures for permanent and temporary salaries and per diems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state employees shall be made from funds appropriated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