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40; Lippincott, 34; Conrad, 46; Dungan, 26.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77-3512 and 77-3514.01,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change provisions relating to late applications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exemptions;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77-3512 (1) It shall be the duty of each owner who wants a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under section 77-3506, 77-3507, or 77-3508 to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therefor with the county assessor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is located after February 1 and on or before June 30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county board of the county in which the homestead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by majority vote, extend the deadline for an applicant to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20. An extension shall not be granted to an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an extension in the immediately preceding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documentation of a medical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impaired the owner's ability to file the application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a copy of the death certificate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who died during the year for which the exemption is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77-3514.01 if he or she includes documentation showing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of status described in subsection (2) of section 77-3506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received from the United States Department of Veterans Affairs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veteran qualifying for a homestead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77-3506 shall only be required to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in every subsequent year evenly divisible by five;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veteran who has been granted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(2)(a) of section 77-3506 dies during the 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period, the surviving spouse of such veteran shall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such exemption for the remainder of the five-year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After the expiration of the five-year exemption period,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shall be required to file for an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section 77-3506 on an annual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Failure to file an application as required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constitute a waiver of the exemption for the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failure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77-3514.01,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(1) A late application filed pursuant to section 77-3512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a medical condition which impaired the claimant's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a timely manner shall only be for the current tax year. The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filed with the county assessor on or before June 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year in which the real estate taxes levied on the property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 become delinquent.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late application filed pursuant to section 77-3512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a spouse during the year for which the exemption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shall only be for the current tax year. The late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county assessor on or before June 30 of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real estate taxes levied on the property for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become delinquent.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late application filed pursuant to section 77-3512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of the status described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77-3506 was received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Affairs after June 30 shall only be for the current tax year. The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shall be filed with the county assessor on or before June 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year in which the real estate taxes levied on the property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year become delinquent.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Applications filed under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certification of the medical condition affecting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physician, physician assistant, or 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nurse. The medical certification shall be made on forms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Applications filed under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 copy of the death certificate of the deceased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Applications filed under subsection (3)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documentation showing that the certification of status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(2) of section 77-3506 was received from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Veterans Affairs after June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assessor shall approve or reject the late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of receipt of the late filing. If approved,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shall mark it approved and sign the application. In case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finds that the exemption should not be allowed by reason of not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conformity to law, the county assessor shall mark the application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 and state the reason for rejection and sign the application.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case when the county assessor rejects an exemption,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applicant of such action by mailing written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at the address shown in the application. The notice shall be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prescribed by the Tax Commissioner. In any case when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rejects an exemption, such applicant may obtain a hearing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in the manner described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77-3512 and 77-3514.01,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