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77-2007.03 and 77-2010,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inheritance tax exemption relating to victims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homicide; to change provisions relating to when certain inheritance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due;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77-2007.03,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77-2007.03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transferred to either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States, or any of its departments, instrumentalities, or agencies,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state, or any governmental subdivision, department, agency,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instrumentality thereof, any municipal corporation or body politic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 by or under the laws of Nebraska, or any agency, institution,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foundation, or fund administered or operated by any of the same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exempt from any inheritance tax imposed by sections 77-2001 to 77-2006,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any amendments thereto.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If a decedent was the victim of a homicide or is a potential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victim of a homicide, then any interested party may file an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inheritance tax exemption described in subdivision (2)(b)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with the Department of Revenue on a form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decedent is determined to be the victim of a homicide,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then any interest in property passing from such decedent shall be exempt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any inheritance tax imposed by sections 77-2001 to 77-2006,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amendments thereto.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decedent shall be conclusively presumed to be the victim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homicide if the person causing the decedent's death is convicted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28-303, 28-304, 28-305, or 28-306. In the absence of such 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conviction,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having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jurisdiction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34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preponderance of the evidence whether the decedent was the victim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homicide.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For purposes of this subsection, homicide has the same meaning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in section 28-302.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This subsection applies to decedents dying on or after June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77-2010,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77-2001 to 77-2037, unless otherwise herein provided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due and payable twelve months after the date of the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decedent, and interest at the rate specified in section 45-104.01,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rate may from time to time be adjusted by the Legislature,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and collected on any unpaid taxes due from the date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payable, and in all cases in which the personal representatives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do not pay such tax within twelve months from the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decedent, they shall be required to give bond in the form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prescribed in section 77-2009 for the payment of the tax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interest. In addition, for failure to file an appropriate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determination of the tax within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the decedent there shall be added to the amount due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five percent per month or fraction thereof, up to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twenty-five percent of the unpaid taxes due.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or an application for probate proceedings or the filing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section 77-2018.07 and payment of the tentative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within twelve months of the decedent's death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appropriate proceeding for the determination to avoid a penalty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the accrual of a penalty. In addition, the county court may abate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penalty if good cause is shown for failure to file.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 application for an inheritance tax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77-2007.03 is filed with the Department of Revenue within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the death of the decedent then any inheritance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sections 77-2001 to 77-2006, and any amendments thereto,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due and payable twelve months after the determination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decedent is not the victim of a homicide, and interest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section 45-104.01, as such rate may from time to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by the Legislature, shall be charged and collected on any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due from the date the same became payable, and in all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personal representatives or trustees do not pay such tax within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 after the determination that the decedent is not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homicide, they shall be required to give bond in the form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prescribed in section 77-2009 for the payment of the tax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interest. In addition, for failure to file an appropriate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determination of the tax within twelve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that the decedent is not the victim of a homicide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added to the amount due a penalty of five percent per month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 thereof, up to a maximum penalty of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 taxes due. The filing of a petition or an application for probate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 or the filing of an application under section 77-2018.07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tentative tax payment within twelve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that the decedent is not the victim of a homicide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an appropriate proceeding for the determination to avoid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and to stop the accrual of a penalty. In addition,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may abate this penalty if good cause is shown for failure to file.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77-2007.03 and 77-2010,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