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873A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24,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873,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$734,591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and (2) $377,923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873,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$268,000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$276,200 for FY2027-28.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