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911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38-4401 and 68-901,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 71-1908,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requirements for licensed applied behavior analysts;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child care licensing requirements for certain facilities,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practices, and service locations; to provide powers and duties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and the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 Analysts;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38-4401,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38-4401 Sections 38-4401 to 38-4414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sections 2 to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Behavior Analyst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licensed behavior analyst that supervises direct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maintain a physical presence in the state through: (1) A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 of practice or residence; or (2) direct client contact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supervision conducted within the state for a minimum of 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total direct service hours delivered per client per calendar month,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no fewer than two in-person supervisory observations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 technicians or equivalent staff during such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Remote-only clinical supervision is prohibited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applied behavior analysis treatment program providing more than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hours of direct services per client per week.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Supervising clinicians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Hold an active license under the Behavior Analyst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Conduct supervision in compliance with guidelines published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Behavior Analyst Certification Board, including a minimum of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observation of service hours;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Document at least one in-person observation of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implementation and client progress per client per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have authority to investigate complaints,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 supervision records, and take disciplinary action against licensees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violate the Behavior Analyst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68-901 Sections 68-901 to 68-9,111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Medical 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establish clinical review protocols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applied behavior analysis services under the Behavior Analyst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Act that exceed (1) twenty hours per week of direct service per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client or (2) twelve consecutive months of ongoing authorization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documented functional progress to ensure continuing medical necessity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 program overutilization.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71-1908 (1) Sections 71-1908 to 71-1923.03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8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Child Care Licensing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finds that there is a present and growing need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quality child care programs and facilities. There is a need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and maintain licensure of persons providing such programs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ensure that such persons are competent and are using safe and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facilities. The Legislature further finds and declares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supervision of programs are a matter of statewide concern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should be dealt with uniformly on the state and local levels.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need for cooperation among the various state and local agencies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impose standards on licensees, and there should be one agency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coordinates the enforcement of such standards and informs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cooperation among the various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facility, practice, or service location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obtain licensure as a child care program under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Act solely on the basis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It provides medically necessary applied behavior analysis;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It serves clients younger than twenty years of age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billable therapeutic sessions;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It does not provide custodial care or recreational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the scope of a client's prescribed treatment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facility, practice, or service location providing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 analysis shall be subject to the requirements of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Act if it (a) offers or permits naps, meals, or nonclinical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recreational programming not associated with a treatment plan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retains one or more children onsite for more than ten cumulative hours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week of nonbillable, nontherapeutic time per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nontherapeutic time means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not (a) billable as medically necessary applied behavior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medicaid or private insurance or (b) used for required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or active case supervision documented by a licensed behavior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analyst.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specify when a dual licensing arrangement, waiver, or exemption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for applied behavior analysis programs that operate extended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day, summer, or wraparound care components.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38-4401 and 68-901,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 71-1908,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