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Lippincott, 34; Hallstrom, 1; Lonowski, 33; McKeon, 41.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Municipal Inland Port Authority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13-3304,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the number of inland port districts that may be created;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13-3304 (1) Any city which encompasses an area greater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eligible to be designated as an inland port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 to create an inland port authority by ordinance,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 on the total number of inland port districts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section. In determining whether to propose the creation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authority, the city shall consider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desirability and economic feasibility of locating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within the corporate boundaries,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or both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technical and economic capability of the city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and private entities to plan and carry out development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strategic location of the proposed inland port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existing and potential transportation infrastructure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facilitating regional, national, and international trade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businesses and facilities that promote and complement such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potential impact that development of the proposed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will have on the immediate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regional and statewide economic impact of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city and one or more counties in which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class, city of the primary class, or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located, or in which the extraterritorial zoning jurisdiction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is located, which encompass an area greater than three hundred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be designated as an inland port district may enter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pursuant to the Interlocal Cooperation Act to propose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an inland port authority, subject to the cap on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inland port districts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In determining whether to propose the creation of an inland 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the city and counties shall consider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desirability and economic feasibility of locating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within the corporate boundaries or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or both of the city, or within both the corporate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extraterritorial zoning jurisdiction or both of a city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one or more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technical and economic capability of the city and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any other public and private entities to plan and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within the proposed inland port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strategic location of the proposed inland port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existing and potential transportation infrastructure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facilitating regional, national, and international trade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businesses and facilities that promote and complement such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potential impact that development of the proposed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will have on the immediate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regional and statewide economic impact of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county with a population greater than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according to the most recent federal census 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revised certified count by the United States Bureau of the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encompasses an area greater than three hundred acres eligible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an inland port district may propose to create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authority by resolution, subject to the cap on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districts provided in subsection (4) of this section.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to propose the creation of an inland port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shall consider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desirability and economic feasibility of locating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within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technical and economic capability of the county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or private entities to plan and carry out development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inland port district;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strategic location of the proposed inland port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existing and potential transportation infrastructure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facilitating regional, national, and international trade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businesses and facilities that promote and complement such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potential impact that development of the proposed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will have on the immediate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regional and statewide economic impact of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inland port districts may be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statewide. No more than one inland port district may be designated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boundaries of a city of the metropolitan class. No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shall designate more than one inland port district,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may be created without also designating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Following the adoption of an ordinance, resolution, or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agreement pursuant to the Interlocal Cooperation Act proposing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an inland port authority, the city clerk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transmit a copy of such ordinance, resolution, or agreement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along with an application for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proposal. Upon receipt of such ordinance, resolution, or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application, the department shall evaluate the proposed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determine whether the proposal meets the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(1), (2), or (3) of this section, whichever is applicable,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any prioritization criteria developed by the department.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proposed inland port authority sufficiently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criteria, the Director of Economic Development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clerk or county clerk whether the proposed creation of such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authority exceeds the cap on the total number of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pursuant to subsection (4) of this section.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proposed inland port authority sufficiently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criteria and does not exceed such cap, the inland port authority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created. If the proposed inland port authority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sufficiently meet such criteria or exceeds such cap, the city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such ordinance, the county shall repeal such resolution,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and county or counties shall rescind such agreement and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shall not be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13-3304,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