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923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Clouse, 37; Dorn, 30; Meyer, G., 17.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counties; to amend sections 23-346.01,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23-1303, and 23-1309,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inventory and discharge records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warrants; to eliminate provisions regarding registration of farm,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ranch, or home names;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 23-1313,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23-346.01,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23-346.01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shall be the duty of the county clerk,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having a population of one hundred fifty thousand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determined by the most recent federal decennial census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before December 1, annually, to prepare separate estimates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supplies, materials, equipment and machinery required for the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officers during the coming year, which by law are not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furnished by the state, and, in order to properly estimate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supplies, materials, equipment and machinery to be needed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government,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clerk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the county clerk's designee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 a perpetual inventory of all personal property 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23-1303 (1) The county clerk shall not issue any county warrants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upon claims approved by the county board. Every warrant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numbered consecutively as allowed from July 1 to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corresponding with the fiscal year of the county. The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records including the date, amount, and number of each warrant,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the person to whom a warrant is issued, and the date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is returned as canceled. The records shall be made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for viewing, in either an electronic or printed format.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county clerk shall develop and implement a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preparation and issuance by electronic or mechanical means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compatible with the funds transfer system established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pursuant to subsection (6) of 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combine warrants for individual funds into a summary warrant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lists each fund and the amount requested from such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Warrant includes an order issued by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and countersigned by the county clerk directing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make payment in a specified amount to a specified payee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use of a dual signature negotiable instrument as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(3) and (4) of this section, an electronic funds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a telephonic funds transfer system, funds transfers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article 4A, Uniform Commercial Code, a mechanical funds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or any other funds transfer system established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chairperson of the county board shall sign each warrant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cause each warrant to be signed in his or her behalf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personally, by delegation of authority, or by facsimile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signature. The signature of the chairperson of the county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signify that the payment intended by a warrant bearing such signature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under the appropriate laws of the state and resolutions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county clerk shall countersign all warrants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county board either personally, by delegation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or by facsimile or electronic signature.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county treasurer shall, if requested by the county clerk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board, establish procedures and processes for facsimile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signature of warrants.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treasurer may establish and operate an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transfer system, a telephonic funds transfer system,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as provided for in article 4A, Uniform Commercial Code,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funds transfer system, or any other funds transfer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funds from and the deposit of receipts into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treasury. Such system as established by the county treasurer shall employ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control safeguards and after meeting such safeguards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satisfy any signature requirements. The use of an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transfer system, a telephonic funds transfer system,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as provided for in article 4A, Uniform Commercial Code,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funds transfer system, or any other funds transfer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county treasurer shall not create any rights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not have been created had an order, drawn by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upon the county treasurer directing the latter to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amount to a specified payee by the use of a dual signature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negotiable instrument as provided for in subsections (3) and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been used as the payment medium.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23-1309,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23-1309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the duty of the county clerk in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keep in a separate book or books, entitled Discharge Record,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discharges or records of separation from active duty from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of the United States. Information contained in the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shall be confidential and made available only to the veteran,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veterans service officer, or post service officer of a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county clerk may transfer the Discharge Record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Archives of the Nebraska State Historical Society for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preservation after the veteran's federal Official Military Personnel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becomes a public archival record or after sixty-two years,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23-346.01, 23-1303, and 23-1309,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23-1313, Reissue Revised Statutes of Nebraska.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