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77-2715.07, Revised Statutes Supplement, 2025; to provide an income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related to premium payments for a qualified health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Adoption Tax Credit Act, the Angel Investment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Advantage Microenterprise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Act, the Reverse Osmosis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Tax Credit Act, or the Volunteer Emergency Responders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refundable credit as provided in section 77-7203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under the Child Care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 for all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(i) contributions to programs or projects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 and (ii) contributions to certified community betterment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as provided in the Community Development Assistance Act.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partner, each shareholder of an electing subchapter S corporation,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an estate or trust, or each member of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report his or her share of the credit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proportion as he or she reports the partnership,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trust, or limited liability company 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90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(i)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projects certified for tax credit status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High Impact Economic Futures Act and (ii)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community betterment programs as provided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Assistance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2032,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of 1967 shall be allowed to any individual who received a premium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credit under 26 U.S.C. 36B for the taxable year.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equal to the difference between the premium assistance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allowed by 26 U.S.C. 36B(b)(3)(A)(iii) as it existed prior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and the premium assistance credit amount otherwise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 U.S.C. 36B(b)(3)(A)(i) and (ii).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77-2715.07,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