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or private nuisances;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provide immunity from claims of public or private nuisance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motor vehicle racing facilities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Associated amenities includes any racetrack, garage, pit,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spectator seating, concession facility, restroom facility,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office, maintenance facility, parking area, and driveway;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Motor vehicle means any vehicle that is propelled by any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muscular power;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Motor vehicle racing facility means a facility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amenities where one or more motor vehicles are used in any land-based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racing competition or in practice for any land-based racing competition;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Racetrack includes any track that is paved or unpaved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oval track, road course, and drag strip.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motor vehicle racing facility shall not be found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or private nuisance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facility existed before a change in the land 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occupancy of land in and about the locality of such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Before such change, the facility would not have been a nuisance.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civil action against a motor vehicle racing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or private nuisance shall not be brought more than two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condition that is the subject matter of the action reaches a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sufficient to sustain a claim of nuisance.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shall not apply to any action brought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or to enforce a previous order of a court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claim of nuisance or to any claims for additional damages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equitable relief available when a motor vehicle racing facility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remediate a nuisance pursuant to such court order.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