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130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Dungan, 26.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General Fund net receipts;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77-4602, Revised Statutes Cumulative Supplement, 2024;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certain transfers of General Fund net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receipts; to repeal the original section; and to declare 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77-4602,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77-4602 (1) Within fifteen days after the end of each month,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shall provide a public statement of actual General Fund net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receipts, a comparison of such actual net receipts to the monthly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estimated net receipts from the most recent forecast provided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Economic Forecasting Advisory Board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77-27,158, and a comparison of such actual net receipts to the monthly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 net receipts for the same month of the previous fiscal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Within fifteen days after the end of each fiscal year,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statement shall also include (a) a summary of actual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net receipts and estimated General Fund net receipts for the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certified pursuant to sections 77-4601 and 77-4603 and (b)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comparison of the actual General Fund net receipts for the fiscal year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actual General Fund net receipts for the previous fiscal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Within fifteen days after the end of each fiscal year,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 Commissioner shall determine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Actual General Fund net receipts for the most recently completed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fiscal year minus estimated General Fund net receipts for such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 as certified pursuant to sections 77-4601 and 77-4603;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Fifty percent of the product of actual General Fund net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receipts for the most recently completed fiscal year times the difference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between the annual percentage increase in the actual General Fund net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receipts for the most recently completed fiscal year and the average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annual percentage increase in the actual General Fund net receipts over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twenty previous fiscal years, excluding the year in which the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percentage change in actual General Fund net receipts is the lowest.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the number determined under subdivision (3)(a)(i)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is a positive number, the Tax Commissioner shall immediately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certify the greater of the two numbers determined under subdivision (3)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of this section to the Director of Administrative Services. The State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Treasurer shall transfer the certified amount from the General Fund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Cash Reserve Fund upon certification by the director of such amount.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transfer shall be made according to the following schedule: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An amount equal to the amount determined under subdivision (3)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(a)(i) of this section shall be transferred immediately;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remainder, if any, shall be transferred by the end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subsequent fiscal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If the transfer required under subdivision (3)(b)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causes the balance in the Cash Reserve Fund to exceed sixteen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percent of the total budgeted General Fund expenditures, excluding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reappropriated amounts or encumbrances, for the current fiscal year,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 shall be reduced so that the balance of the Cash Reserve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does not exceed such amount.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Nothing in this subsection prohibits the balance in the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Reserve Fund from exceeding sixteen percent of the total budgeted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expenditures, excluding any reappropriated amounts or encumbrances,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fiscal year if the Legislature determines it necessary to prepare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and respond to budgetary requirements which may include, but are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limited to, capital construction projects and responses to emergencies.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(3)(a) Within fifteen days after the end of each fiscal year,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Tax Commissioner shall determine actual General Fund net receipts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most recently completed fiscal year minus estimated General Fund net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receipts for such fiscal year as certified pursuant to sections 77-4601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77-4603.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If actual General Fund net receipts for the most recently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completed fiscal year exceed estimated General Fund net receipts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fiscal year, the Tax Commissioner shall certify the excess amount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 Treasurer. The State Treasurer shall transfer the excess amount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Cash Reserve Fund, except as otherwise provided in subdivision (3)(c)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If actual General Fund net receipts for the most recently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completed fiscal year exceed one hundred three percent of actual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 net receipts for the previous fiscal year, the transfer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subdivision (3)(b) of this section shall be modified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 The amount transferred to the Cash Reserve Fund shall be reduced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 the excess amount calculated under subdivision (3)(c) of this section;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 Such excess amount shall be transferred to the School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Property Tax Relief Credit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77-4602,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88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