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211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Riepe, 12; 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Property Tax Growth Limitation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13-3403,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the calculation of property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authority; to repeal the original section;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13-3403,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13-3403 (1) Except as otherwise provided in the Property Tax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Act, for fiscal years beginning on or after July 1, 2025,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property tax request for any year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its property tax request authority as determined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preliminary property tax request authority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shall be the amount of property taxes levied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of equalization pursuant to section 77-1601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in the prior fiscal year, less the sum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exceptions utilized in the prior year pursuant to section 13-3404.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the preliminary property tax request authority,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political subdivision's property tax request authority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follows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product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public safety services as defined in section 13-320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twenty percent or more of the amount of the political subdivision's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funded by property taxes, such political subdivision's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request authority may be increased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product of (A) the amount of property taxes levied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year, less the sum of exceptions utilized in the prior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subdivisions (1) and (2) of section 13-3404 and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subdivision's growth percentage;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product of (A) the amount of property taxes levied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year, less the sum of exceptions utilized in the prior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subdivisions (1) and (2) of section 13-3404 and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 of zero or the inflation percentage;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public safety services as defined in section 13-320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less than twenty percent of the amount of the political subdivision's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funded by property taxes, such political subdivision's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request authority may be increased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product of (A) the amount of property taxes levied 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year, less the sum of exceptions utilized in the prior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subdivisions (1) and (2) of section 13-3404 and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subdivision's growth percentage;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product of (A) the amount of property taxes levied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year, less the sum of exceptions utilized in the prior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subdivisions (1) and (2) of section 13-3404 and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 of two percent or the inflation percentage.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amount of property taxes levied in the prior year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political subdivision's growth percentage, less the sum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exceptions utilized in the prior year pursuant to subdivisions (1)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of section 13-3404;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greater of zero or the inflation percentage.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13-3403,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