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213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amend section 79-760.01,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require the State Board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Eduction to adopt academic content standards on human embryology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science education standards as prescribed;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79-760.01,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79-760.01 (1) The State Board of Education shall adopt measurable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content standards for at least the grade levels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assessment pursuant to section 79-760.03. The standards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 the subject areas of reading, writing, mathematics, science,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studies.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board shall also adopt measurable academic content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for the following as part of the social studies standards: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Financial literacy;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Education on the Holocaust and other acts of genocide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by the Congress of the United States or the United Nations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January 1, 2022.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 or before March 1, 2024, the board shall also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measurable academic content standards for computer science and technology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under the mathematics, science, or career and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 On or before March 1, 2026, the board shall adopt measurable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academic content standards for human embryology under the science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standards. Such standards shall be integrated into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school's curriculum no later than the start of the 2026-27 school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Instruction on human development that accurately portrays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biological science of human embryology, including the Carnegie Stages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Human Embryonic Development, in the curriculum of elementary, middle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school, and high school students;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High-definition visual recordings which are of at least four-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dimensional quality, commonly referred to as 4D. The visual recordings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show the development of the brain, heart, sex organs,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vital organs throughout fetal development.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parent, guardian, or educational decisionmaker as defined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79-530 may opt such parent's, guardian's, or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decisionmaker's student out of the instruction provided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(2)(c)(i)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Academic content standards adopted or recommended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sufficiently clear and measurable to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testing student performance with respect to mastery of the content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the state 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 Board of Education shall develop a plan to review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update standards for each subject area every seven years. The state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shall include a review of commonly accepted standards adopted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79-760.01,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