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wards; to define terms; to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intent; to create the Nebraska Youth in Care Bill of Rights;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powers and duties.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sections 1 to 4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Child means any child placed in a: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Foster family home;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Child-care institution through a court proceeding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(3)(a) of section 43-247;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Child-care institution has the same meaning as in 42 U.S.C.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672(c), as such section existed on January 1, 2025, and includes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residential child-caring agency as defined in section 71-1926;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Department means the Department of Health and Human Services;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Foster family home includes a foster family home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42 U.S.C. 672(c), as such section existed on January 1, 2025, and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defined in section 71-1901.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It is the policy of the Legislature to ensure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quality of care provided to a child placed in a foster family home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child-care institution is as close as possible to the care a child would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 in a family setting. To carry out such policy,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shall aspire to treat all children placed in foster family homes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child-care institutions with dignity and respect, to provide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children with honest and clear communication and information to help them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understand the system or systems in which they are involved,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consistent opportunities for such children to have their voices heard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cases, to successfully reunify children with their families or help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children find permanency, to support lifelong family connections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children, to place such children in an environment that accepts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cultures and beliefs, and to provide such children with the skills,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knowledge, and resources they need to become successful adults.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rights and duties set forth in this section and section 3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 shall be known as the Nebraska Youth in Care Bill of Rights. In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accomplish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goals,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developmentally appropriate information and notice that: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Each child is permitted to attend religious services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of the child's choice, or to choose not to attend,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balanced with the countervailing rights of the child's biological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parents, as provided under the First and Fourteenth Amendments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 child is in a placement that shares the child's religious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beliefs, when possible;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Each child is free from unreasonable search and seizure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under the Fourth Amendment to the Constitution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and as defined by state and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Each child is safe and free from exploitation by staff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contractors of the department, foster family members, and other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affiliated with the department, as provided under the Fourteenth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 to the Constitution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Each child receives support for basic needs as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Fourteenth Amendment to the Constitution of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43-290;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Each child is free from discrimination on the basis of race,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ethnicity, sex, gender, national origin, tribal membership,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or physical disability, gender identity, or sexual orientation;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Each child who is also a parent is able to make decisions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parent's child as provided under the Fourteenth Amendment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Each child who is also a parent of a child who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parent's custody may provide input on the appropriateness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placement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As required by section 43-272, a guardian ad litem is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child to advocate for the interests of the child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appropriate, legal counsel to protect the interests of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Each child has the opportunity to participate in age-appropriate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developmentally appropriate extracurricular, enrichment, cultural,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social activities as provided under section 43-4711;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(k) As required by federal law, each child, including a child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pregnant or parenting, receives a free and appropriate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 and attends the same school in which the child was previously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enrolled unless it is contrary to the best interests of the child;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(l) Each child is provided timely notice of all court hearings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proceedings involving the child and a youth court questionnaire,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applicable, and has the ability to attend or participate in all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hearings unless the court determines it is contrary to the best interests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child;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(m)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information,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748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described in this section and section 3 of this act, in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child's primary language as required by federal law;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(n) Each child with a disability is provided information in a manner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consistent with requirements under federal law;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(o) Each child has access, as determined by the child's physician,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age-appropriate, developmentally appropriate, trauma-informed,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medically accurate information, medical prevention services,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treatment, including an examination by a health care provider within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weeks after initial removal from the home, and education on the child's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right to refuse or consent to medical treatment balanced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countervailing rights of the biological parents, unless contrary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best interests of the child or otherwise ordered by a court;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(p) Each child receives medical, dental, vision, and mental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regularly and as often as needed, while preserving the right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child to refuse or consent to treatment, unless contrary to the best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interests of the child or otherwise ordered by a court;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(q) Each child is prescribed and administered medications only as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2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age-appropriate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about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84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medications and possible side effects;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(r) The assets of each child are protected and free from financial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identity theft.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applicable,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Facilitate a joint-sibling placement, unless it is contrary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safety or well-being of any of the siblings, as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43-1311.02;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Facilitate sibling visitation, if joint-sibling placement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possible, unless it is contrary to the safety or well-being of a sibling,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required by section 43-1311.02;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Inform a child of the child's right to joint-sibling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visitation with siblings, including biological siblings,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siblings, half-siblings, and stepsiblings;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Facilitate reunification with a child's biological parents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state and federal law, unless contrary to the best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child or otherwise ordered by a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Facilitate reasonable visitation with a child's biological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and other significant individuals in the child's life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state and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Inform a child of the reasons for denying visitation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Inform a child who is adopted from foster care about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Provide a child, including a child who is pregnant or parenting,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 adequate plan to transition out of foster care and all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as required by section 43-1311.03;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Ensure the confidentiality of information related to a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foster care case in a manner consistent with state and federal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Ensure a child has access to the child's birth certificate,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security card, proof of health care coverage, medical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records, power of attorney documents,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or documents as provided in section 43-1311.03.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order to ensure that each child is aware of the rights stated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section and section 2 of this act and is able to express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grievance related to any infringement of such rights without penalty: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Each caseworker shall be trained on the rights stated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section 2 of this act and how to discuss such rights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age-appropriate and developmentally appropriate manner with a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 caseworker shall provide a paper copy of the rights stated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section and section 2 of this act and shall discuss such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each child who is at least fourteen years of age. Such discussion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occur (i) in the placement of the child within seventy-two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initial placement and within two weeks after such placement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quarterly at team meetings or at-home visits. The caseworker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that the child sign an acknowledgment that the discussion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occurred as required by section 43-4713;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As part of the consultations required by subdivision (2)(d)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43-272.01, each guardian ad litem appointed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43-272.01 shall discuss the rights stated in this section and section 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with each child within two weeks after appointment and once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six months thereafter. The guardian ad litem shall discuss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with the child again if a child discloses that the child believes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rights have been infringed. The guardian ad litem shall raise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infringement with the court unless it is determined by the guardian 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litem to be without merit;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child may raise a grievance regarding the infringement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stated in this section by filing a grievance with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Within three business days after receipt of a grievance,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provide acknowledgment of receipt, including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information, information on the grievance process, and obtaining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Administrative Procedure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caseworker shall explain how to file a grievance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grievance process to a child in an age-appropriate manner. The caseworker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provide a child opportunities to privately discuss such rights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grievance process regularly, at intervals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rights stated in this section and 3 of this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discussed at every dispositional, review, and permanency planning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which the child is present as provided in section 43-4713.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Strengthening Families Act Committee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43-4716 shall monitor the implementation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Youth in Care Bill of Rights.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