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391A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08,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391,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Enable Support Cash Fund for FY2025-26 and (2) $1,000,000 from the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Enable Support Cash Fund for FY2026-27 to the State Treasurer,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475,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391,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$98,687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$-0-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Revenue, for Program 102,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391,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