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Cash Reserve Fund;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84-612, Reissue Revised Statutes of Nebraska;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fifteen million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forty-one thousand dollars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one hundred sixty-six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hundred seventy-three thousand five hundred eighty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Nebraska Capital Construction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State Treasurer shall transfer three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Risk Loss Trust on or before June 30,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The State Treasurer shall transfer eleven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Cash Fund on or after July 1, 2023,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The State Treasurer shall transfer five hundred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five hundred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Perkins County Canal Project Fund on or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The State Treasurer shall transfer one million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 thousand dollars from the Cash Reserve Fund to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on or after July 1, 2023, but before June 30, 2024,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Nebraska Public Safety Communication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two million four hundred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The State Treasurer shall transfer seventy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The State Treasurer shall transfer two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Site and Building Development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The State Treasurer shall transfer twenty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Economic Development Cash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2023, but before June 30, 2024,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 The State Treasurer shall transfer two hundred forty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Cash Reserve Fund to the Economic Recovery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after July 1, 2023, but before June 30, 2024,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Critical Infrastructure Facilities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after July 1, 2023, but before June 30, 2024,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 The State Treasurer shall transfer four hundred forty million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General Fund to the Cash Reserve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2023, but before June 30, 2024,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General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Cash Reserve Fund to the Materiel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Revolving Fund on or after July 1, 2023, but before June 30, 2024,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Reserve Fund to the Youth Outdoor Education Innovation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2023, but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 The State Treasurer shall transfer twenty-eight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Jobs and Economic Development Initiative Fund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Reserve Fund on or before June 30,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 The State Treasurer shall transfer five million dollars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State Insurance Fund on or before July 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three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Cash Reserve Fund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Cash Fund on or after July 1, 2024,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Cash Reserve Fund to the Municipality Infrastructure Aid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2024, but before July 15,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Cash Reserve Fund to the Governor's Emergency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ten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to transfer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million dollars from the Cash Reserve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2026, but before June 30, 2027, if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on July 1, 2026, after accounting for the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does not fall below sixteen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appropriated, excluding encumbered and certified reappropriations,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for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84-612,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