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adopt the Education Leave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Education Leave and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Education Leave and Support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Covered employee means a certificated teacher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Employer means a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FMLA leave means leave taken by a covered employee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Family and Medical Leave Act of 1993, 29 U.S.C. 2601 et seq.;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School district has the same meaning as in section 79-101.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January 1, 2026, a payroll fee of thirty-five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hundredths of one percent shall be levied on the taxable wages of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in the state. Employers shall collect the fee from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and remit it quarterly to the State Treasurer. Employers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contribute an amount equal to the total payroll fee collected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covered employees as an employer match and remit this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 to the State Treasurer. All fees and contributions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shall be credited to the State Education Leave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Education Leave Fund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administered by the department.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fund shall be used solely to reimburse school districts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 of hiring substitute teachers for the first six weeks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employee's FMLA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Reimbursements under this section shall begin July 1, 2026.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develop and implement procedures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Accept applications for reimbursement from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Review applications in order to ensure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requirements;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Disburse funds in a timely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Reimbursements under this section shall be made from the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not to exceed the actual daily cost of hiring a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teacher,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covered employee for whom reimbursement is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be required to use any accrued personal or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for the first six weeks of FMLA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shall submit an annual report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detailing the fund's expenditures, utilization rates, and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Education Retention Fund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administered by the department.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State Education Leave Fund accrues a surplus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percent of its projected annual needs, the department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Treasurer, and the State Treasurer shall transfer the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to the Education Retention Fund. Funds transferred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used to address teacher shortages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school district that misuses funds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Education Leave Fund shall repay the funds in full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penalties as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Education Leave Fund shall be subject to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by the Auditor of Public Accounts.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