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prohibit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by state agencies, state entities, counties, cities,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villages relating to the energy source of motor vehicles;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certain actions of the Department of Environment and 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vehicle emission standards.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state agency or other state entity shall restrict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of, purchase of, or sale of any motor vehicle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39-101 based on the energy source used to power any component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vehicle, including any energy source used for propulsion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used for powering any function of the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county, city, or village shall restrict the use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of, or sale of any motor vehicle as defined in section 39-101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energy source used to power any component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including any energy source used for propulsion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used for powering any function of the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Environment and Energy shall not seek,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to be sought, any waiver from the federal Clean Air Act to enact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stringent vehicle emission standards than required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Environmental Protection Agency.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