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482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amend section 44-359,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44-359,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44-359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cases when the beneficiary or other person entitled thereto brings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action upon any type of insurance policy, except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insurance, or upon any certificate issued by a fraternal benefit society,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company, person, or association doing business in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court, upon rendering judgment against such company, 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shall allow the plaintiff a reasonable sum as an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in addition to the 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plaintiff's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recovery,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taxed as part of the costs. If such cause is appealed, the appellate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likewise allow a reasonable sum as an attorney's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appellate proceedings, except that if the plaintiff fails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for more than may have been offered by such company, 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in accordance with section 25-901, then the plaintiff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recover the attorney's fee provided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Subsection (1) of this section does not apply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plaintiff's right to bring the action is based on a post-loss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rights or benefits arising out of a claim by a property owner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 to insured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44-359,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