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county courts; to amend section 24-514,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the state to pay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operational costs of county courts;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24-514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shall pay, with funds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Supreme Court, all salaries, benefits, and expenses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travel of judges and employees of the county courts.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shall also pay, with funds appropriated to the Supreme Court,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operational costs of the county courts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Computer hardware and software used for data processing;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Computer hardware and software used for word processing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are incurred on equipment owned by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Communication line costs arising from data and word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subdivisions (1) and 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Multi-track recorders, microphones, and playback units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 verbatim records of county court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shall pay any county court expense not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property purchased by the county as a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September 9, 1993, or on or after September 9, 1993,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the property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24-514,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