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613A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08,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613,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$90,200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$88,000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Revenue, for Program 102,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613,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$64,100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$66,200 for FY2026-27.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