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Nitrogen Reduction Incentive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2-414, 2-416, and 2-417,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eliminate provisions relating to incentive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and legislative intent; to change provisions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Reduction Incentive Cash Fund; to change a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date; 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2-414 (1) The nitrogen reduction incentive program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 of Natural Resources.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collaborate with natural resources districts to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purposes of the program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incentive payments to farmers;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Encourage farmers to (i) reduce the use of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incorporate innovative technology into farming practices,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proper use of biological nitrogen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program shall provide an annual per-acre incentive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who verifies through documentation that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were reduced by the lesser of forty pounds per acre for nitrogen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percent by incorporating a qualifying product in the farmer's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nutrient plans.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commercial fertilizer rate reduction from historic baseline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shall be completed to qualify for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review the required commercial fertilizer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reduction for the program on a biennial basis to determine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reduction targets are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Collaborate with natural resources districts to add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to the program as it becomes available. Such technology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nitrogen fertilizer use and maintain farm productivity;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Identify geographically beneficial target areas while keeping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open to all farmers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Consult with farmers and commercial entities in the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to determine a per-acre payment rate tied to the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fertilizer rate reduction but not less than ten dollars per acre;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Review the per-acre payment rate based on inflation or emerging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in subsequent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(7)(a) The department shall not award an amount of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payments in total per year under the nitrogen reduction incentive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is greater than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Five million dollars;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amount appropriated for such purpose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It is the intent of the Legislature that any appropriation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General Fund to carry out the Nitrogen Reduction Incentive Act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used only for operating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2-416,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2-416 (1) The Nitrogen Reduction Incentive Cash Fund is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 of Natural Resources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Nitrogen Reduction Incentive Act. The Nitrogen Reduction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may consist of transfers as directed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gifts, grants, bequests, and money from any public or private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Prior to the application deadline for fiscal year 2025-26,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Natural Resources shall apply for a grant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million dollars from the Nebraska Environmental Trust Fund,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out in five annual installments of five million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listed in the grant application shall be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uses of the Nitrogen Reduction Incentive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application is granted, funds received from such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remitted to the State Treasurer for credit to the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Reduction Incentive Cash Fund for the purpose of supporting the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the grant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of Natural Resources shall establish a subaccount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Nitrogen Reduction Incentive Cash Fund for the accounting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money received as a grant from the Nebraska Environmental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result of an application made pursuant to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At the end of each calendar month, the Department of Natural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shall calculate the amount of interest earnings accruing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subaccount and shall notify the State Treasurer who shall then transfer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like amount from the Nitrogen Reduction Incentive Cash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Environmental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Natural Resources may apply for all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state, federal, and private sources that are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Nitrogen Reduction Incentive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such grant applied for by the Department of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that is awarded to the Department of Natural Resources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 be credited to the Nitrogen Reduction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2-417,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2-417 The Nitrogen Reduction Incentive Act terminates on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2-414, 2-416, and 2-417,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