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Bosn, 25; Storer, 43;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provide for dismissal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civil actions involving commercial motor vehicles.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motion of a defendant in a civil action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commercial motor vehicle requiring a commercial driver's license,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trial court shall dismiss from the civil action any claim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defendant's direct negligence if the defendant stipulates that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event that caused the damages that are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all of the following are true: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person whose negligence is alleged to have caused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 was the defendant's employee or independent contractor;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person whose negligence is alleged to have caused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 was acting within the course and scope of employment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or acting as an independent contractor of the 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defendant makes the stipulations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this section with respect to an employee or independent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employee's or independent contractor's negligence is found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caused or contributed to causing the damages, the defendant's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in the civil action shall be adjudged solely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legal doctrine known as respondeat superior.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commercial motor vehicle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60-316.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