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23,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$20,000 from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Automation Cash Fund for FY2025-26 and (2) $-0- from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Automation Cash Fund for FY2026-27 to the Supreme Court,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570,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80,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