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Legislature; to amend section 50-1301,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state legislative findings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unfilled gubernatorial appointments; to provide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50-1301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finds that state government actions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produced an increase in the numbers of boards, commissions, and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that support, advise, direct, or administer various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The process has evolved without sufficient legislative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oversight and without a system of checks and balances.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is responsible for the expenditure of public money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shaping of the administration of state government and is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accountable for fiscal policy, the Legislature should also be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termination, continuation, or modification of such boards,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commissions, and similar entities so that it may be assured that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directives have been faithfully carried out.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Legislature further finds that boards, commissions,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entities cannot function as intended when vacancies on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or similar entity are left unfilled. Membership on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 is often required by statute to be appointed by 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 or the Legislature. In the case of a gubernatorial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seat that has been vacant for six months or more,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jurisdiction may take applications for the seat and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recommendations to the Governor for possible appointment. If the seat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remains vacant for another three months after the date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forwarded to the Governor,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 may make the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50-1301,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