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25-3301,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25-3302, and 25-3309,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statute of limitations for actions for personal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applicability; to include administrative proceedings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Nonrecourse Civil Litigation Act, require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 by consumers, and provide for discipline against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registration; to provide a duty for the Revisor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action for personal injury can only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only apply to causes of action accruing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25-3301 Sections 25-3301 to 25-3309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Nonrecourse Civil Litigation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25-3302 For purposes of the Nonrecourse Civil Litigation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Civil litigation funding company means a person or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nonrecourse civil litigation funding transaction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Consumer means a person residing or domiciled in Nebraska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elects to enter into a transaction under the act, whether it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over the Internet, by facsimile, or by any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and who has a pending legal claim and is represented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at the time he or she receives the nonrecourse civil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Legal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civil claim or 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in an administrative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Nonrecourse civil litigation funding means a transaction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civil litigation funding company purchases and a consumer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contingent right to receive an amount of the potential proceeds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consumer's legal claim to the civil litigation funding company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any realized settlement, judgment, award, or verdict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may receive in the legal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stipulated or ordered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a consumer or the consumer's attorney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awaiting a discovery request, disclose and deliver a copy of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nonrecourse civil litigation funding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party to the legal claim or each party's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court, agency, or tribunal in which the legal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known person, including an insurer, with 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obligation to indemnify or defend a party to the legal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disclosure obligation under subdivision (1)(c)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exists regardless of whether a civil action or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has commenced.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disclosure obligation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continuing obligation. Within thirty days after entering into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nonrecourse civil litigation funding or amending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the consumer or the consumer's attorney shall disclose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any new or amended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existence of a contract for nonrecourse civil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and all participants or parties to such contract are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subjects of discovery in any legal claim for which litigation funding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25-3309 (1) The Secretary of State shall issue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to a civil litigation funding company who complies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25-3307 or a renewal of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25-3307.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may refuse to issue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if the Secretary of State determines that the character,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fitness, or financial responsibility of the civil litigation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are such as to warrant belief that the business will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honestly or fairly within the purposes of the Nonrecourse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may suspend, revoke, or refuse to renew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of 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conduct that would have justified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registration under subsection (2) of section 25-3307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violating section 25-3304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for knowingly violating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may deny, suspend, revoke, or refuse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a certificate of registration only after proper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a hearing. The Administrative Procedure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Nonrecourse Civil Litigation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Secretary of State may issue a temporary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while an application for registration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is 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Secretary of State shall require a civil litigation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registered pursuant to the act to annually submit certain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form prescribed by the Secretary of State that contains: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nonrecourse civil litigation fundings;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nonrecourse civil litigation fundings;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nonrecourse civil litigation fundings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repaid by the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charged to the consumer,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annual percentage fee charged to the consumer and the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charged to the consumer;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dollar amount and number of cases in which the realization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civil litigation funding company was less than contracted.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Secretary of State shall annually prepare and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Clerk of the Legislature and to the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the status of nonrecourse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funding activities in the state.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information reported by registered civil litigation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 1 of this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Chapter 25, article 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25-3301, 25-3302, and 25-3309,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