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565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Administrative Procedure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84-901.03, Reissue Revised Statutes of Nebraska;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change requirements for guidance documents;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repeal the original section;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84-901.03,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84-901.03 (1) Upon the issuance of a guidance document, an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such document available at one public location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agency’s website. The agency shall also publish on its website an index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summarizing the subject matter of all currently applicable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and guidance documents. Such agency shall provide the index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electronically to the Clerk of the Legislature by December 31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agency shall ensure that the first page of each guidance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 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notice: This guidance document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advisory in nature but is binding on an agency until amended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agency. A guidance document does not include internal procedural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that only affect the internal operations of the agency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impose additional requirements or penalties on regulated parties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confidential information or rules and regulations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 If you believe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guidance document imposes additional requirements or penalties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parties, you may request a review of the document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description, including an estimated quantification, of the fiscal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state agencies, political subdivisions, and regulated persons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may request in writing that an agency revise or repeal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guidance document or convert a guidance document into a rule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regulation. No later than sixty calendar days after the agency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request, the agency shall advise the requestor in writing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decision to (a) revise or repeal the guidance document, (b) initiate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to consider a revision or repeal of a guidance document,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initiate the rulemaking or regulationmaking process to convert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guidance document into a rule or regulation, or (d) deny the request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the reason for the denial.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LB565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LB565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All decisions made by an agency under this section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at one public location and on the agency’s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agency shall not issue guidance documents on or after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2025, and before July 1, 2027, unless specifically required by amendments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existing federal rules or to become compliant with new federal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guidance document shall not impose greater regulations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residents or businesses than federal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All guidance documents and provider bulletins issued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2022, and before July 1, 2025, are revoked pending a formal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rulemaking process as provided in the Administrative Procedure Act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explicitly required for federal compliance.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84-901.03,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