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aid to municipalities;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77-27,139.03,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calculation of tax levies for state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77-27,139.03,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77-27,139.03 (1) State aid provided to municipalities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77-27,139.01 to 77-27,139.04 shall be calculated by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property tax levy for operational purposes other than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payments on the indebtedness of all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shall use the prior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Taxes Levied that was certified to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pursuant to section 77-1613.01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Accounts shall provide to the Department of Revenue a list of the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nonbond tax request amounts from the most recent budgets filed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incorporated municipalities. The information shall be used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calculate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bond and nonbond tax levies for aid purposes under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auditor shall provide the information to the department by February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municipality shall receive state aid from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Fund equal to (a) the product of the average per capita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of the appropriate population group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population of the municipality minus (b) the product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property tax levy multiplied by the certified valuation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incorporated municipality, except that a municipality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any aid under this section if the calculation results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negative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municipal tax levy for operational purposes was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property tax levy in the immediately preceding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aid provided to such municipality shall be reduced by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one-cent increment the levy was below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levy but the reduction shall not exceed eighty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amount of money in the Municipal Equalization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total amount of state aid for all municipalities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allocation formula in subsection (2) of this section,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shall be allocated on a prorated basis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municipalities. If the amount of money in the fund is more than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state aid for municipalities as required by the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formula, the excess money in the fund shall be credited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77-27,139.03,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