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Uninsured and Underinsured Motorist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 Act; to amend sections 44-6410 and 44-6411,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stacking of coverage;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44-6410,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44-6410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number of vehicles involved,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claims made, vehicles or premiums shown on the policy,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paid, the limits of liability for uninsured or underinsured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motorist coverage for two or more motor vehicles insured under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or separate policies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by the same person or by related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residing in the same household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added together, combined,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stacked to determine the limit of insurance coverage available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person for any one accident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Regardless of the insurance policy language,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uninsured or underinsured motorist coverage for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vehicles insured under separate policies held by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policyholders who are not related persons residing in the same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added together, combined, or stacked to determine the limit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coverage available to an injured person for any one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44-6411,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44-6411 (1) In the event an insured is entitled to uninsured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underinsured motorist coverage under more than one policy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liability insurance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held by the same person or by related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residing in the same household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maximum amount an insured may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highest limit of any one such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event of bodily injury, sickness, disease, or death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while occupying a motor vehicle not owned by the insured,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in the following order of priority,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in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if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uninsured or underinsured motorist coverage on the occupied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primary; and (b) if such primary coverage is exhausted,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uninsured or underinsured motorist coverage available to the insured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event an injured person is entitled to coverage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multiple policies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payment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following order of priority, subject to the limit of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applicable policy: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policy covering a motor vehicle occupied by the injured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policy covering a motor vehicle which causes bodily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sickness, disease, or death of the insured while a pedestrian;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policy covering a motor vehicle not involved in the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which the injured person is an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44-6410 and 44-6411,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