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 care; to create the Child Care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be administered by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prescribed; and to state legislative intent.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Child Care Cash Fund is a permanent tool to reinforce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workforce, strengthen economic growth, and support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sustained investment in the state's child care system.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foundational economic infrastructure and that long-term, reliable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is essential to the state's ability to attract, retain,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a stable workforce;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Access to the child care subsidy is a key driver of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family stability, and positive outcomes for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Child Care Cash Fund shall be primarily dedicated to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preserving access to the child care subsidy for eligible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families, (b) supporting continuity and stability in child care for young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children, and (c) ensuring the long-term viability of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providers in both urban and rural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Child Care Cash Fund is created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Department of Health and Human Services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transfers authorized by the Legislature from the General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gifts, grants, or donations for the purposes of the fund,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funds as directed by the Legislature. Any money in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Child Care Cash Fund shall be used for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subsidy program including: (a) Ensuring continuity of care for families;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making timely payments to child care providers; (c)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rates sufficient to promote provider stability and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care; (d) administrative costs necessary to operate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subsidy program; (e) quality improvement and workforce supports for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providers; and (f) other child care uses as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fund shall not be used to supplant the state's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match for the child care subsidy.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appropriate XXX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Cash Fund annually for the purposes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shall electronically submit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that includes: (a) Amounts credited to, and 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from, the Child Care Cash Fund; (b) the monthly number of families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 served by the child care subsidy by income eligibility level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reason; (c) the number of child care subsidy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received, accepted, and denied per month; (d) for denied applications,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reason for denial; and (e) the number of pending child care subsidy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per month.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