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legislative intent; to provide for a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pilot program as prescribed;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Director of Public Health of the Division of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of the Department of Health and Human Services;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waiver of certain child care licensing requirements;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and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should be dealt with uniformly on the state and local levels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of Public Health of the Division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of the Department of Health and Human Services may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any number of licensees to develop and operate a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designed to increase the availability or capacity of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may grant licensure to a person to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in a pilot program under this section that waives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rules and regulations related to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day care facility or youth development program,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staff at such day care facility or youth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 A facility granted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alternative terms, conditions, and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director as may be necessary to protect the health, safety,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the children who attend such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shall not grant a license under this section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determines that a day care facility or youth development program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staff member of such facility or program would endanger the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and welfare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may grant licensure to a person to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this section for no more than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director determines that a pilot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is successful and increases the availability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child care facilities in the state, the director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suggestions and recommendations to the Legislature for statutory changes.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granted licensure to maintain a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waiver from the requirements of the Child Care Licensing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specific period of time from the Director of Public Health.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request shall be in a form and manner approved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the provisions of the rules and regulations sought to be waived.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requests shall be granted on a case-by-case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71-1908,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