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803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Revenue Committee: von Gillern, 4, Chairperson; Bostar, 29;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Kauth, 31;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77-1229,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tangible personal property;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77-1229,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77-1229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Every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required by section 77-1201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and value taxable tangible personal property shall list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upon the forms prescribed by the Tax Commissioner. The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from the county assessor and when completed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each person or his or her agent and be filed with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assessor. The forms shall be filed on or before May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seeking a personal property exemption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77-4105, the Nebraska Advantage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 shall annually file a copy of the forms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77-4105 or the act with the county assessor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person is requesting exemption. The copy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on or before May 1. Failure to timely file the required forms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forfeiture of the exemption for the tax year. If a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 also has taxable tangible personal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shall be listed and valued as required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77-1229,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