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28-316.01, Revised Statutes Cumulative Supplement, 2024;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terms; to change provisions relating to sexual abuse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employee;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28-316.01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Sexual contact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penetration has the same meaning as in section 28-318;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contract worker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older who, as part of such person's employment, spends time working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public, private, denominational, or parochial school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by the State Department of Education but is not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 school, including, but not limited to, a school resource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construction worker, or a school consultant or independent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who is employed by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school contract 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at least sixteen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enrolled in or attending a public,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denominational, or parochial school approved or accredited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Education, or who was such a person enrolled in 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attended such a school within ninety days of any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sexual abuse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if a school employee subjects a student in the school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is assigned for work to sexual penetration or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contact, or engages in a pattern or scheme of conduct to subject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 the school to which such employee is assigned for work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penetration or sexual contact. It is not a defense to a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that the student consented to such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school employee who engages in sexual penetration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is guilty of sexual abuse by a school employee in the first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degree. Sexual abuse by a school employee in the first degree is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school employee who engages in sexual contact with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sexual abuse by a school employee in the second degree.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by a school employee in the second degree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school employee who engages in a pattern or scheme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with the intent to subject a student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contact is guilty of sexual abuse by a school employee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degree. Sexual abuse by a school employee in the third degree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28-316.01,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