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211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12;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Property Tax Growth Limitation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13-3403,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the calculation of property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authority; to repeal the original section;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13-3403,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13-3403 (1) Except as otherwise provided in the Property Tax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Act, for fiscal years beginning on or after July 1, 2025,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property tax request for any year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its property tax request authority as determined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preliminary property tax request authority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be the amount of property taxes levied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equalization pursuant to section 77-1601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in the prior fiscal year, less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exceptions utilized in the prior year pursuant to section 13-3404.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the preliminary property tax request authority,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subdivision's property tax request authority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follows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product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public safety services as defined in section 13-320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twenty percent or more of the amount of the political subdivision's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funded by property taxes, such political subdivision's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request authority may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product of (A) the amount of property taxes levied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year, less the sum of exceptions utilized in the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subdivisions (1) and (2) of section 13-3404 and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subdivision's growth percentage;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product of (A) the amount of property taxes levied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year, less the sum of exceptions utilized in the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subdivisions (1) and (2) of section 13-3404 and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of zero or the inflation percentage;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public safety services as defined in section 13-320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less than twenty percent of the amount of the political subdivision's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funded by property taxes, such political subdivision's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request authority may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product of (A) the amount of property taxes levied 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year, less the sum of exceptions utilized in the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subdivisions (1) and (2) of section 13-3404 and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subdivision's growth percentage;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product of (A) the amount of property taxes levied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year, less the sum of exceptions utilized in the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subdivisions (1) and (2) of section 13-3404 and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of two percent or the inflation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amount of property taxes levied in the prior year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political subdivision's growth percentage, less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exceptions utilized in the prior year pursuant to subdivisions (1)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of section 13-3404;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greater of zero or the inflation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13-3403,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