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254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state legislative intent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transfer funds for workforce housing;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transfer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million dollars from the General Fund for fiscal year 2025-26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Rural Workforce Housing Investment Fund and twenty-five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General Fund for fiscal year 2026-27 to the Rural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Housing Investment Fund to provide workforce housing grants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Rural Workforce Housing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