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20;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highway system;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39-1365.01,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related to the priority of projects and requirements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highway system plan;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39-1365.01,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39-1365.01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be responsible for developing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and long-range state highway system plan.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formulate plans to meet the state highway system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facets of the state and shall assign priorities for such needs.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shall, on or before December 1 of each year, present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and the report required in section 39-1365.02 to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plans shall be referred to the appropriate standing committees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consider the preservation of the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highway system asset as its primary priority except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be provided in state or federal law. In establishing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priorities, the department shall consider a variety of factors,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including, but not limited to, current and projected traffic volume,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requirements, economic development needs, current and projected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demographic trends, and enhancement of the quality of life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citizens.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highway system plan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designation of those portions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system which shall be expressways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Account for highway revenue raised by each district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39-1102. Not less than seventy percent of revenue raised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allocated to any project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39-1365.01,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